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3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1C77" w:rsidRPr="0023581D" w:rsidTr="00391C77">
        <w:trPr>
          <w:trHeight w:val="416"/>
        </w:trPr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u w:val="single"/>
              </w:rPr>
              <w:t>Class One</w:t>
            </w:r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u w:val="single"/>
              </w:rPr>
              <w:t>Long Term Planning For T</w:t>
            </w:r>
            <w:r w:rsidRPr="0023581D">
              <w:rPr>
                <w:rFonts w:ascii="SassoonCRInfant" w:hAnsi="SassoonCRInfant"/>
                <w:b/>
                <w:sz w:val="28"/>
                <w:u w:val="single"/>
              </w:rPr>
              <w:t xml:space="preserve">he </w:t>
            </w:r>
            <w:r w:rsidR="00325167">
              <w:rPr>
                <w:rFonts w:ascii="SassoonCRInfant" w:hAnsi="SassoonCRInfant"/>
                <w:b/>
                <w:sz w:val="28"/>
                <w:u w:val="single"/>
              </w:rPr>
              <w:t xml:space="preserve">Role </w:t>
            </w:r>
            <w:bookmarkStart w:id="0" w:name="_GoBack"/>
            <w:bookmarkEnd w:id="0"/>
            <w:r w:rsidR="00325167">
              <w:rPr>
                <w:rFonts w:ascii="SassoonCRInfant" w:hAnsi="SassoonCRInfant"/>
                <w:b/>
                <w:sz w:val="28"/>
                <w:u w:val="single"/>
              </w:rPr>
              <w:t>Play Area</w:t>
            </w:r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391C77" w:rsidRPr="0023581D" w:rsidTr="00391C77"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91C77" w:rsidRPr="0023581D" w:rsidRDefault="00391C77" w:rsidP="00104DB7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23581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Key Concepts – Skills – Attitudes – Knowledge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25167">
              <w:rPr>
                <w:rFonts w:ascii="Tahoma" w:hAnsi="Tahoma" w:cs="Tahoma"/>
                <w:sz w:val="24"/>
                <w:szCs w:val="24"/>
              </w:rPr>
              <w:t>Develop language to define a theme, plot, character and sequence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25167">
              <w:rPr>
                <w:rFonts w:ascii="Tahoma" w:hAnsi="Tahoma" w:cs="Tahoma"/>
                <w:sz w:val="24"/>
                <w:szCs w:val="24"/>
              </w:rPr>
              <w:t>Develop and negotiate a play theme and establish rules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25167">
              <w:rPr>
                <w:rFonts w:ascii="Tahoma" w:hAnsi="Tahoma" w:cs="Tahoma"/>
                <w:sz w:val="24"/>
                <w:szCs w:val="24"/>
              </w:rPr>
              <w:t>Develop a role and maintain it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25167">
              <w:rPr>
                <w:rFonts w:ascii="Tahoma" w:hAnsi="Tahoma" w:cs="Tahoma"/>
                <w:sz w:val="24"/>
                <w:szCs w:val="24"/>
              </w:rPr>
              <w:t>Develop imagination and creativity to combine and recombine ideas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325167">
              <w:rPr>
                <w:rFonts w:ascii="Tahoma" w:hAnsi="Tahoma" w:cs="Tahoma"/>
                <w:sz w:val="24"/>
                <w:szCs w:val="24"/>
              </w:rPr>
              <w:t>Develop empathy and understand the perspective of others</w:t>
            </w:r>
          </w:p>
          <w:p w:rsidR="00325167" w:rsidRDefault="00325167" w:rsidP="00325167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4"/>
                <w:szCs w:val="24"/>
              </w:rPr>
            </w:pP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325167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SKILLS</w:t>
            </w:r>
            <w:r w:rsidRPr="00325167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:</w:t>
            </w:r>
          </w:p>
          <w:p w:rsidR="00325167" w:rsidRDefault="00325167" w:rsidP="003251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Problem solving, sharing, forming relationships, communicating, describing and</w:t>
            </w:r>
          </w:p>
          <w:p w:rsidR="00325167" w:rsidRDefault="00325167" w:rsidP="003251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explaining, questioning and reasoning, sequencing, comparing, modifying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325167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ATTITUDES</w:t>
            </w:r>
            <w:r w:rsidRPr="00325167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:</w:t>
            </w:r>
          </w:p>
          <w:p w:rsidR="00325167" w:rsidRDefault="00325167" w:rsidP="0032516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Enjoyment, enthusiasm, confidence, independence, co-operation, self-expression,</w:t>
            </w:r>
          </w:p>
          <w:p w:rsidR="00391C77" w:rsidRPr="0023581D" w:rsidRDefault="00325167" w:rsidP="0032516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perseverance</w:t>
            </w:r>
          </w:p>
        </w:tc>
      </w:tr>
      <w:tr w:rsidR="00391C77" w:rsidRPr="0023581D" w:rsidTr="00325167">
        <w:trPr>
          <w:trHeight w:val="696"/>
        </w:trPr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Default="00391C77" w:rsidP="00104DB7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</w:p>
          <w:p w:rsidR="00391C77" w:rsidRPr="00325167" w:rsidRDefault="00391C77" w:rsidP="00325167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RESOURCES</w:t>
            </w: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391C77" w:rsidRDefault="00391C77" w:rsidP="00104DB7">
            <w:pPr>
              <w:jc w:val="center"/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</w:p>
          <w:p w:rsidR="00391C77" w:rsidRPr="0023581D" w:rsidRDefault="00391C77" w:rsidP="00104DB7">
            <w:pPr>
              <w:jc w:val="center"/>
              <w:rPr>
                <w:rFonts w:ascii="SassoonCRInfant" w:hAnsi="SassoonCRInfant"/>
                <w:sz w:val="28"/>
                <w:u w:val="single"/>
              </w:rPr>
            </w:pPr>
            <w:r w:rsidRPr="0023581D">
              <w:rPr>
                <w:rFonts w:ascii="Tahoma,Bold" w:hAnsi="Tahoma,Bold" w:cs="Tahoma,Bold"/>
                <w:b/>
                <w:bCs/>
                <w:sz w:val="24"/>
                <w:szCs w:val="24"/>
                <w:u w:val="single"/>
              </w:rPr>
              <w:t>ORGANISATION</w:t>
            </w:r>
          </w:p>
        </w:tc>
      </w:tr>
      <w:tr w:rsidR="00391C77" w:rsidRPr="0023581D" w:rsidTr="00325167">
        <w:trPr>
          <w:trHeight w:val="336"/>
        </w:trPr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b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b/>
                <w:sz w:val="24"/>
                <w:szCs w:val="24"/>
              </w:rPr>
              <w:t>Play furniture including;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Kitchen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Toaster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House keys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Table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Chairs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Play food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Play cutlery and plates etc.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Dolls and clothing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Telephone, message pad and pens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Clipboards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Till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Various Writing Opportunities 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b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b/>
                <w:sz w:val="24"/>
                <w:szCs w:val="24"/>
              </w:rPr>
              <w:t>Role play clothes including;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People who help us items –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 clothing and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props</w:t>
            </w:r>
          </w:p>
          <w:p w:rsidR="00325167" w:rsidRPr="00325167" w:rsidRDefault="00325167" w:rsidP="003251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Den frame, cloth and pegs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Not all equipm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ent is out at the same time and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children will be encouraged to “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modify and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change” to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suit their play, for </w:t>
            </w:r>
            <w:proofErr w:type="spellStart"/>
            <w:r w:rsidRPr="00325167">
              <w:rPr>
                <w:rFonts w:ascii="SassoonCRInfant" w:hAnsi="SassoonCRInfant" w:cs="Tahoma"/>
                <w:sz w:val="24"/>
                <w:szCs w:val="24"/>
              </w:rPr>
              <w:t>eg</w:t>
            </w:r>
            <w:proofErr w:type="spellEnd"/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. Make a hospital, school, castle,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den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s etc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.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Children have access to all equipment around the classroom to support their play in the Hub. Children can turn this space into whatever they wish to. </w:t>
            </w: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The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Hub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is situated next to the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Reading Den.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It is intende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d that the children use the various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 equipment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around the room to create whatever fits with their play.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Equipment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for writing is available within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this area and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children are in close proximity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to the w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riting area should they wish to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extend this further.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A </w:t>
            </w:r>
            <w:r w:rsidRPr="00325167">
              <w:rPr>
                <w:rFonts w:ascii="SassoonCRInfant" w:hAnsi="SassoonCRInfant" w:cs="Tahoma,Bold"/>
                <w:b/>
                <w:bCs/>
                <w:sz w:val="24"/>
                <w:szCs w:val="24"/>
              </w:rPr>
              <w:t xml:space="preserve">deconstructed role play area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is open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proofErr w:type="gramStart"/>
            <w:r w:rsidRPr="00325167">
              <w:rPr>
                <w:rFonts w:ascii="SassoonCRInfant" w:hAnsi="SassoonCRInfant" w:cs="Tahoma"/>
                <w:sz w:val="24"/>
                <w:szCs w:val="24"/>
              </w:rPr>
              <w:t>ended</w:t>
            </w:r>
            <w:proofErr w:type="gramEnd"/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 and can appear as many forms.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 This is found outside along with the outdoor Home Role-Play Area. 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The role play area will be enhanced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whenever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possible by equipment and props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availabl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e, along with appropriate adult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intervention.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</w:p>
          <w:p w:rsidR="00391C7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325167">
              <w:rPr>
                <w:rFonts w:ascii="SassoonCRInfant" w:hAnsi="SassoonCRInfant" w:cs="Tahoma"/>
                <w:sz w:val="24"/>
                <w:szCs w:val="24"/>
              </w:rPr>
              <w:t>Ad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ults working in the area supply language 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>and ideas to support and</w:t>
            </w:r>
            <w:r w:rsidRPr="00325167">
              <w:rPr>
                <w:rFonts w:ascii="SassoonCRInfant" w:hAnsi="SassoonCRInfant" w:cs="Tahoma"/>
                <w:sz w:val="24"/>
                <w:szCs w:val="24"/>
              </w:rPr>
              <w:t xml:space="preserve"> enhance children’s play. </w:t>
            </w:r>
          </w:p>
          <w:p w:rsidR="00325167" w:rsidRPr="00325167" w:rsidRDefault="00325167" w:rsidP="00325167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</w:p>
        </w:tc>
      </w:tr>
    </w:tbl>
    <w:p w:rsidR="00EF05FC" w:rsidRDefault="00EF05FC"/>
    <w:sectPr w:rsidR="00EF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BCC"/>
    <w:multiLevelType w:val="hybridMultilevel"/>
    <w:tmpl w:val="3D846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C559A"/>
    <w:multiLevelType w:val="hybridMultilevel"/>
    <w:tmpl w:val="56B85DD4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E3358"/>
    <w:multiLevelType w:val="hybridMultilevel"/>
    <w:tmpl w:val="082E3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8086D"/>
    <w:multiLevelType w:val="hybridMultilevel"/>
    <w:tmpl w:val="798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859A6"/>
    <w:multiLevelType w:val="hybridMultilevel"/>
    <w:tmpl w:val="6BFC1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B003A"/>
    <w:multiLevelType w:val="hybridMultilevel"/>
    <w:tmpl w:val="AC48B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085729"/>
    <w:multiLevelType w:val="hybridMultilevel"/>
    <w:tmpl w:val="1EDEA848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49698A"/>
    <w:multiLevelType w:val="hybridMultilevel"/>
    <w:tmpl w:val="5F8A844A"/>
    <w:lvl w:ilvl="0" w:tplc="D83C1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065C3"/>
    <w:multiLevelType w:val="hybridMultilevel"/>
    <w:tmpl w:val="6654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7"/>
    <w:rsid w:val="00325167"/>
    <w:rsid w:val="00391C77"/>
    <w:rsid w:val="00833AEF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2016-01-31T18:40:00Z</dcterms:created>
  <dcterms:modified xsi:type="dcterms:W3CDTF">2016-01-31T18:40:00Z</dcterms:modified>
</cp:coreProperties>
</file>