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A2" w:rsidRDefault="00F57EA2"/>
    <w:p w:rsidR="00F57EA2" w:rsidRDefault="00F57EA2"/>
    <w:p w:rsidR="00F57EA2" w:rsidRDefault="00F57EA2" w:rsidP="00F57EA2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BD786C">
        <w:rPr>
          <w:rFonts w:ascii="Tahoma" w:hAnsi="Tahoma" w:cs="Tahoma"/>
          <w:b/>
          <w:sz w:val="28"/>
          <w:szCs w:val="28"/>
        </w:rPr>
        <w:t>Pupil Premium Report (2016/17)</w:t>
      </w:r>
    </w:p>
    <w:p w:rsidR="005F4215" w:rsidRDefault="005F4215" w:rsidP="00F57EA2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14712" w:type="dxa"/>
        <w:tblInd w:w="-1235" w:type="dxa"/>
        <w:tblLook w:val="04A0" w:firstRow="1" w:lastRow="0" w:firstColumn="1" w:lastColumn="0" w:noHBand="0" w:noVBand="1"/>
      </w:tblPr>
      <w:tblGrid>
        <w:gridCol w:w="2808"/>
        <w:gridCol w:w="1083"/>
        <w:gridCol w:w="3786"/>
        <w:gridCol w:w="1218"/>
        <w:gridCol w:w="3392"/>
        <w:gridCol w:w="2425"/>
      </w:tblGrid>
      <w:tr w:rsidR="005F4215" w:rsidRPr="00326C32" w:rsidTr="005F4215">
        <w:trPr>
          <w:trHeight w:hRule="exact" w:val="319"/>
        </w:trPr>
        <w:tc>
          <w:tcPr>
            <w:tcW w:w="1471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5F4215" w:rsidRPr="00326C32" w:rsidRDefault="005F4215" w:rsidP="005F42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</w:p>
        </w:tc>
        <w:bookmarkStart w:id="0" w:name="_GoBack"/>
        <w:bookmarkEnd w:id="0"/>
      </w:tr>
      <w:tr w:rsidR="005F4215" w:rsidRPr="00326C32" w:rsidTr="00D16FAF">
        <w:trPr>
          <w:trHeight w:hRule="exact" w:val="319"/>
        </w:trPr>
        <w:tc>
          <w:tcPr>
            <w:tcW w:w="2808" w:type="dxa"/>
            <w:tcMar>
              <w:top w:w="57" w:type="dxa"/>
              <w:bottom w:w="57" w:type="dxa"/>
            </w:tcMar>
          </w:tcPr>
          <w:p w:rsidR="005F4215" w:rsidRPr="00326C32" w:rsidRDefault="005F4215" w:rsidP="008B1908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School</w:t>
            </w:r>
          </w:p>
        </w:tc>
        <w:tc>
          <w:tcPr>
            <w:tcW w:w="11904" w:type="dxa"/>
            <w:gridSpan w:val="5"/>
            <w:tcMar>
              <w:top w:w="57" w:type="dxa"/>
              <w:bottom w:w="57" w:type="dxa"/>
            </w:tcMar>
          </w:tcPr>
          <w:p w:rsidR="005F4215" w:rsidRPr="00326C32" w:rsidRDefault="005F4215" w:rsidP="008B1908">
            <w:pPr>
              <w:rPr>
                <w:rFonts w:cs="Arial"/>
              </w:rPr>
            </w:pPr>
            <w:r>
              <w:rPr>
                <w:rFonts w:cs="Arial"/>
              </w:rPr>
              <w:t>Steam Mills Primary School</w:t>
            </w:r>
          </w:p>
        </w:tc>
      </w:tr>
      <w:tr w:rsidR="005F4215" w:rsidRPr="00326C32" w:rsidTr="00D16FAF">
        <w:trPr>
          <w:trHeight w:hRule="exact" w:val="319"/>
        </w:trPr>
        <w:tc>
          <w:tcPr>
            <w:tcW w:w="2808" w:type="dxa"/>
            <w:tcMar>
              <w:top w:w="57" w:type="dxa"/>
              <w:bottom w:w="57" w:type="dxa"/>
            </w:tcMar>
          </w:tcPr>
          <w:p w:rsidR="005F4215" w:rsidRPr="00326C32" w:rsidRDefault="005F4215" w:rsidP="008B1908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083" w:type="dxa"/>
            <w:tcMar>
              <w:top w:w="57" w:type="dxa"/>
              <w:bottom w:w="57" w:type="dxa"/>
            </w:tcMar>
          </w:tcPr>
          <w:p w:rsidR="005F4215" w:rsidRPr="00326C32" w:rsidRDefault="00D16FAF" w:rsidP="008B1908">
            <w:pPr>
              <w:rPr>
                <w:rFonts w:cs="Arial"/>
              </w:rPr>
            </w:pPr>
            <w:r>
              <w:rPr>
                <w:rFonts w:cs="Arial"/>
              </w:rPr>
              <w:t>16-17</w:t>
            </w:r>
          </w:p>
        </w:tc>
        <w:tc>
          <w:tcPr>
            <w:tcW w:w="3786" w:type="dxa"/>
          </w:tcPr>
          <w:p w:rsidR="005F4215" w:rsidRPr="00326C32" w:rsidRDefault="005F4215" w:rsidP="008B1908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PP budget</w:t>
            </w:r>
          </w:p>
        </w:tc>
        <w:tc>
          <w:tcPr>
            <w:tcW w:w="1218" w:type="dxa"/>
          </w:tcPr>
          <w:p w:rsidR="005F4215" w:rsidRPr="00326C32" w:rsidRDefault="005F4215" w:rsidP="008B1908">
            <w:pPr>
              <w:rPr>
                <w:rFonts w:cs="Arial"/>
              </w:rPr>
            </w:pPr>
            <w:r>
              <w:rPr>
                <w:rFonts w:cs="Arial"/>
              </w:rPr>
              <w:t>23,760</w:t>
            </w:r>
          </w:p>
        </w:tc>
        <w:tc>
          <w:tcPr>
            <w:tcW w:w="3392" w:type="dxa"/>
          </w:tcPr>
          <w:p w:rsidR="005F4215" w:rsidRPr="00326C32" w:rsidRDefault="005F4215" w:rsidP="008B1908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Date of most recent PP Review</w:t>
            </w:r>
          </w:p>
        </w:tc>
        <w:tc>
          <w:tcPr>
            <w:tcW w:w="2425" w:type="dxa"/>
          </w:tcPr>
          <w:p w:rsidR="005F4215" w:rsidRPr="00326C32" w:rsidRDefault="00D16FAF" w:rsidP="008B1908">
            <w:pPr>
              <w:rPr>
                <w:rFonts w:cs="Arial"/>
              </w:rPr>
            </w:pPr>
            <w:r>
              <w:rPr>
                <w:rFonts w:cs="Arial"/>
              </w:rPr>
              <w:t>School Review: 03.11.16</w:t>
            </w:r>
          </w:p>
        </w:tc>
      </w:tr>
      <w:tr w:rsidR="005F4215" w:rsidRPr="00326C32" w:rsidTr="00D16FAF">
        <w:trPr>
          <w:trHeight w:hRule="exact" w:val="458"/>
        </w:trPr>
        <w:tc>
          <w:tcPr>
            <w:tcW w:w="2808" w:type="dxa"/>
            <w:tcMar>
              <w:top w:w="57" w:type="dxa"/>
              <w:bottom w:w="57" w:type="dxa"/>
            </w:tcMar>
          </w:tcPr>
          <w:p w:rsidR="005F4215" w:rsidRPr="00326C32" w:rsidRDefault="005F4215" w:rsidP="008B1908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number of pupils</w:t>
            </w:r>
          </w:p>
        </w:tc>
        <w:tc>
          <w:tcPr>
            <w:tcW w:w="1083" w:type="dxa"/>
            <w:tcMar>
              <w:top w:w="57" w:type="dxa"/>
              <w:bottom w:w="57" w:type="dxa"/>
            </w:tcMar>
          </w:tcPr>
          <w:p w:rsidR="005F4215" w:rsidRPr="00326C32" w:rsidRDefault="00D16FAF" w:rsidP="008B1908">
            <w:pPr>
              <w:rPr>
                <w:rFonts w:cs="Arial"/>
              </w:rPr>
            </w:pPr>
            <w:r>
              <w:rPr>
                <w:rFonts w:cs="Arial"/>
              </w:rPr>
              <w:t>120</w:t>
            </w:r>
          </w:p>
        </w:tc>
        <w:tc>
          <w:tcPr>
            <w:tcW w:w="3786" w:type="dxa"/>
          </w:tcPr>
          <w:p w:rsidR="005F4215" w:rsidRPr="00326C32" w:rsidRDefault="005F4215" w:rsidP="008B1908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Number of pupils eligible for PP</w:t>
            </w:r>
          </w:p>
        </w:tc>
        <w:tc>
          <w:tcPr>
            <w:tcW w:w="1218" w:type="dxa"/>
          </w:tcPr>
          <w:p w:rsidR="005F4215" w:rsidRPr="00326C32" w:rsidRDefault="00D04933" w:rsidP="008B1908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3392" w:type="dxa"/>
          </w:tcPr>
          <w:p w:rsidR="005F4215" w:rsidRPr="00326C32" w:rsidRDefault="005F4215" w:rsidP="008B1908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Date for next PP Strategy Review</w:t>
            </w:r>
          </w:p>
        </w:tc>
        <w:tc>
          <w:tcPr>
            <w:tcW w:w="2425" w:type="dxa"/>
          </w:tcPr>
          <w:p w:rsidR="005F4215" w:rsidRPr="00326C32" w:rsidRDefault="00D16FAF" w:rsidP="008B1908">
            <w:pPr>
              <w:rPr>
                <w:rFonts w:cs="Arial"/>
              </w:rPr>
            </w:pPr>
            <w:r>
              <w:rPr>
                <w:rFonts w:cs="Arial"/>
              </w:rPr>
              <w:t>February 2017</w:t>
            </w:r>
          </w:p>
        </w:tc>
      </w:tr>
    </w:tbl>
    <w:p w:rsidR="005F4215" w:rsidRDefault="005F4215" w:rsidP="00F57EA2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1139" w:tblpY="710"/>
        <w:tblW w:w="14949" w:type="dxa"/>
        <w:tblLook w:val="04A0" w:firstRow="1" w:lastRow="0" w:firstColumn="1" w:lastColumn="0" w:noHBand="0" w:noVBand="1"/>
      </w:tblPr>
      <w:tblGrid>
        <w:gridCol w:w="7508"/>
        <w:gridCol w:w="4678"/>
        <w:gridCol w:w="2763"/>
      </w:tblGrid>
      <w:tr w:rsidR="006479F5" w:rsidRPr="00326C32" w:rsidTr="006479F5">
        <w:trPr>
          <w:trHeight w:hRule="exact" w:val="268"/>
        </w:trPr>
        <w:tc>
          <w:tcPr>
            <w:tcW w:w="14949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:rsidR="006479F5" w:rsidRPr="005F4215" w:rsidRDefault="006479F5" w:rsidP="006479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6"/>
              <w:rPr>
                <w:rFonts w:cs="Arial"/>
                <w:b/>
              </w:rPr>
            </w:pPr>
            <w:r w:rsidRPr="005F4215">
              <w:rPr>
                <w:rFonts w:eastAsia="Arial" w:cs="Arial"/>
                <w:b/>
              </w:rPr>
              <w:t xml:space="preserve">Current attainment </w:t>
            </w:r>
          </w:p>
        </w:tc>
      </w:tr>
      <w:tr w:rsidR="006479F5" w:rsidRPr="00326C32" w:rsidTr="006479F5">
        <w:trPr>
          <w:trHeight w:hRule="exact" w:val="603"/>
        </w:trPr>
        <w:tc>
          <w:tcPr>
            <w:tcW w:w="7508" w:type="dxa"/>
            <w:tcMar>
              <w:top w:w="57" w:type="dxa"/>
              <w:bottom w:w="57" w:type="dxa"/>
            </w:tcMar>
          </w:tcPr>
          <w:p w:rsidR="006479F5" w:rsidRPr="005F4215" w:rsidRDefault="006479F5" w:rsidP="006479F5">
            <w:pPr>
              <w:rPr>
                <w:rFonts w:cs="Arial"/>
              </w:rPr>
            </w:pPr>
            <w:r w:rsidRPr="005F4215">
              <w:rPr>
                <w:rFonts w:cs="Arial"/>
              </w:rPr>
              <w:t xml:space="preserve">As we are working with small numbers, overall figures across the school are used. </w:t>
            </w:r>
          </w:p>
        </w:tc>
        <w:tc>
          <w:tcPr>
            <w:tcW w:w="467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479F5" w:rsidRPr="00326C32" w:rsidRDefault="006479F5" w:rsidP="006479F5">
            <w:pPr>
              <w:jc w:val="center"/>
              <w:rPr>
                <w:rFonts w:cs="Arial"/>
                <w:i/>
              </w:rPr>
            </w:pPr>
            <w:r w:rsidRPr="00326C32">
              <w:rPr>
                <w:rFonts w:cs="Arial"/>
                <w:i/>
              </w:rPr>
              <w:t>P</w:t>
            </w:r>
            <w:r>
              <w:rPr>
                <w:rFonts w:cs="Arial"/>
                <w:i/>
              </w:rPr>
              <w:t xml:space="preserve">upils eligible for PP </w:t>
            </w:r>
          </w:p>
        </w:tc>
        <w:tc>
          <w:tcPr>
            <w:tcW w:w="276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479F5" w:rsidRPr="00326C32" w:rsidRDefault="006479F5" w:rsidP="006479F5">
            <w:pPr>
              <w:jc w:val="center"/>
              <w:rPr>
                <w:rFonts w:cs="Arial"/>
                <w:i/>
              </w:rPr>
            </w:pPr>
            <w:r w:rsidRPr="00326C32">
              <w:rPr>
                <w:rFonts w:cs="Arial"/>
                <w:i/>
              </w:rPr>
              <w:t xml:space="preserve">Pupils not eligible for PP </w:t>
            </w:r>
          </w:p>
        </w:tc>
      </w:tr>
      <w:tr w:rsidR="006479F5" w:rsidRPr="00341909" w:rsidTr="006479F5">
        <w:trPr>
          <w:trHeight w:hRule="exact" w:val="571"/>
        </w:trPr>
        <w:tc>
          <w:tcPr>
            <w:tcW w:w="7508" w:type="dxa"/>
            <w:tcMar>
              <w:top w:w="57" w:type="dxa"/>
              <w:bottom w:w="57" w:type="dxa"/>
            </w:tcMar>
            <w:vAlign w:val="bottom"/>
          </w:tcPr>
          <w:p w:rsidR="006479F5" w:rsidRDefault="006479F5" w:rsidP="006479F5">
            <w:pPr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% reached the expected standard in </w:t>
            </w:r>
            <w:r w:rsidRPr="00326C32">
              <w:rPr>
                <w:rFonts w:eastAsia="Arial" w:cs="Arial"/>
                <w:b/>
                <w:bCs/>
                <w:color w:val="050505"/>
              </w:rPr>
              <w:t>reading,</w:t>
            </w:r>
            <w:r>
              <w:rPr>
                <w:rFonts w:eastAsia="Arial" w:cs="Arial"/>
                <w:b/>
                <w:bCs/>
                <w:color w:val="050505"/>
              </w:rPr>
              <w:t xml:space="preserve"> writing &amp; maths</w:t>
            </w:r>
          </w:p>
          <w:p w:rsidR="006479F5" w:rsidRDefault="006479F5" w:rsidP="006479F5">
            <w:pPr>
              <w:ind w:right="-23"/>
              <w:rPr>
                <w:rFonts w:eastAsia="Arial" w:cs="Arial"/>
                <w:b/>
                <w:bCs/>
                <w:color w:val="050505"/>
              </w:rPr>
            </w:pPr>
          </w:p>
          <w:p w:rsidR="006479F5" w:rsidRPr="00326C32" w:rsidRDefault="006479F5" w:rsidP="006479F5">
            <w:pPr>
              <w:ind w:right="-23"/>
              <w:rPr>
                <w:rFonts w:eastAsia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79F5" w:rsidRPr="00341909" w:rsidRDefault="006479F5" w:rsidP="006479F5">
            <w:pPr>
              <w:ind w:left="187"/>
              <w:rPr>
                <w:rFonts w:cs="Arial"/>
                <w:b/>
                <w:sz w:val="20"/>
                <w:szCs w:val="20"/>
              </w:rPr>
            </w:pPr>
            <w:r w:rsidRPr="00341909">
              <w:rPr>
                <w:rFonts w:cs="Arial"/>
                <w:b/>
                <w:sz w:val="20"/>
                <w:szCs w:val="20"/>
              </w:rPr>
              <w:t>Reading 50% Writing 44%, Maths 56</w:t>
            </w:r>
            <w:r w:rsidR="005F3540" w:rsidRPr="00341909">
              <w:rPr>
                <w:rFonts w:cs="Arial"/>
                <w:b/>
                <w:sz w:val="20"/>
                <w:szCs w:val="20"/>
              </w:rPr>
              <w:t>% Overall</w:t>
            </w:r>
            <w:r w:rsidRPr="00341909">
              <w:rPr>
                <w:rFonts w:cs="Arial"/>
                <w:b/>
                <w:sz w:val="20"/>
                <w:szCs w:val="20"/>
              </w:rPr>
              <w:t xml:space="preserve"> – 44%</w:t>
            </w:r>
          </w:p>
          <w:p w:rsidR="006479F5" w:rsidRPr="00341909" w:rsidRDefault="006479F5" w:rsidP="006479F5">
            <w:pPr>
              <w:ind w:left="187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479F5" w:rsidRPr="00341909" w:rsidRDefault="006479F5" w:rsidP="006479F5">
            <w:pPr>
              <w:ind w:left="187"/>
              <w:jc w:val="center"/>
              <w:rPr>
                <w:rFonts w:cs="Arial"/>
                <w:b/>
                <w:sz w:val="16"/>
                <w:szCs w:val="16"/>
              </w:rPr>
            </w:pPr>
            <w:r w:rsidRPr="00341909">
              <w:rPr>
                <w:rFonts w:cs="Arial"/>
                <w:b/>
                <w:sz w:val="16"/>
                <w:szCs w:val="16"/>
              </w:rPr>
              <w:t>Writing 444</w:t>
            </w:r>
          </w:p>
          <w:p w:rsidR="006479F5" w:rsidRPr="00341909" w:rsidRDefault="006479F5" w:rsidP="006479F5">
            <w:pPr>
              <w:ind w:left="18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6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6479F5" w:rsidRPr="00341909" w:rsidRDefault="006479F5" w:rsidP="006479F5">
            <w:pPr>
              <w:rPr>
                <w:rFonts w:cs="Arial"/>
                <w:b/>
                <w:sz w:val="20"/>
                <w:szCs w:val="20"/>
              </w:rPr>
            </w:pPr>
            <w:r w:rsidRPr="00341909">
              <w:rPr>
                <w:rFonts w:cs="Arial"/>
                <w:b/>
                <w:sz w:val="20"/>
                <w:szCs w:val="20"/>
              </w:rPr>
              <w:t>Reading 75%, Writing 67% Maths 76% Overall 55%</w:t>
            </w:r>
          </w:p>
        </w:tc>
      </w:tr>
      <w:tr w:rsidR="006479F5" w:rsidRPr="00AF4582" w:rsidTr="006479F5">
        <w:trPr>
          <w:trHeight w:hRule="exact" w:val="393"/>
        </w:trPr>
        <w:tc>
          <w:tcPr>
            <w:tcW w:w="7508" w:type="dxa"/>
            <w:tcMar>
              <w:top w:w="57" w:type="dxa"/>
              <w:bottom w:w="57" w:type="dxa"/>
            </w:tcMar>
            <w:vAlign w:val="bottom"/>
          </w:tcPr>
          <w:p w:rsidR="006479F5" w:rsidRPr="00326C32" w:rsidRDefault="006479F5" w:rsidP="006479F5">
            <w:pPr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bCs/>
                <w:color w:val="050505"/>
              </w:rPr>
              <w:t>KS1-2 expected or better progress score in reading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79F5" w:rsidRPr="00326C32" w:rsidRDefault="006479F5" w:rsidP="006479F5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81% (13/16)</w:t>
            </w:r>
          </w:p>
        </w:tc>
        <w:tc>
          <w:tcPr>
            <w:tcW w:w="276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6479F5" w:rsidRPr="00AF4582" w:rsidRDefault="006479F5" w:rsidP="006479F5">
            <w:pPr>
              <w:jc w:val="center"/>
              <w:rPr>
                <w:rFonts w:cs="Arial"/>
                <w:b/>
                <w:bCs/>
              </w:rPr>
            </w:pPr>
            <w:r w:rsidRPr="00AF4582">
              <w:rPr>
                <w:rFonts w:cs="Arial"/>
                <w:b/>
                <w:bCs/>
              </w:rPr>
              <w:t>96%</w:t>
            </w:r>
          </w:p>
        </w:tc>
      </w:tr>
      <w:tr w:rsidR="006479F5" w:rsidRPr="00AF4582" w:rsidTr="006479F5">
        <w:trPr>
          <w:trHeight w:hRule="exact" w:val="410"/>
        </w:trPr>
        <w:tc>
          <w:tcPr>
            <w:tcW w:w="7508" w:type="dxa"/>
            <w:tcMar>
              <w:top w:w="57" w:type="dxa"/>
              <w:bottom w:w="57" w:type="dxa"/>
            </w:tcMar>
            <w:vAlign w:val="bottom"/>
          </w:tcPr>
          <w:p w:rsidR="006479F5" w:rsidRPr="00326C32" w:rsidRDefault="006479F5" w:rsidP="006479F5">
            <w:pPr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KS1-2 expected or better progress score </w:t>
            </w:r>
            <w:r w:rsidRPr="00326C32">
              <w:rPr>
                <w:rFonts w:eastAsia="Arial" w:cs="Arial"/>
                <w:b/>
                <w:bCs/>
                <w:color w:val="050505"/>
              </w:rPr>
              <w:t xml:space="preserve">in writing 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79F5" w:rsidRPr="00326C32" w:rsidRDefault="006479F5" w:rsidP="006479F5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81% (13/16)</w:t>
            </w:r>
          </w:p>
        </w:tc>
        <w:tc>
          <w:tcPr>
            <w:tcW w:w="276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6479F5" w:rsidRPr="00AF4582" w:rsidRDefault="006479F5" w:rsidP="006479F5">
            <w:pPr>
              <w:jc w:val="center"/>
              <w:rPr>
                <w:rFonts w:cs="Arial"/>
                <w:b/>
                <w:bCs/>
              </w:rPr>
            </w:pPr>
            <w:r w:rsidRPr="00AF4582">
              <w:rPr>
                <w:rFonts w:cs="Arial"/>
                <w:b/>
                <w:bCs/>
              </w:rPr>
              <w:t>86%</w:t>
            </w:r>
          </w:p>
        </w:tc>
      </w:tr>
      <w:tr w:rsidR="006479F5" w:rsidRPr="00AF4582" w:rsidTr="006479F5">
        <w:trPr>
          <w:trHeight w:hRule="exact" w:val="406"/>
        </w:trPr>
        <w:tc>
          <w:tcPr>
            <w:tcW w:w="7508" w:type="dxa"/>
            <w:tcMar>
              <w:top w:w="57" w:type="dxa"/>
              <w:bottom w:w="57" w:type="dxa"/>
            </w:tcMar>
            <w:vAlign w:val="bottom"/>
          </w:tcPr>
          <w:p w:rsidR="006479F5" w:rsidRPr="00326C32" w:rsidRDefault="006479F5" w:rsidP="006479F5">
            <w:pPr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KS1-2 expected or better progress score </w:t>
            </w:r>
            <w:r w:rsidRPr="00326C32">
              <w:rPr>
                <w:rFonts w:eastAsia="Arial" w:cs="Arial"/>
                <w:b/>
                <w:bCs/>
                <w:color w:val="050505"/>
              </w:rPr>
              <w:t>in maths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79F5" w:rsidRPr="00326C32" w:rsidRDefault="006479F5" w:rsidP="006479F5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94% (15/16)</w:t>
            </w:r>
          </w:p>
        </w:tc>
        <w:tc>
          <w:tcPr>
            <w:tcW w:w="276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6479F5" w:rsidRPr="00AF4582" w:rsidRDefault="006479F5" w:rsidP="006479F5">
            <w:pPr>
              <w:jc w:val="center"/>
              <w:rPr>
                <w:rFonts w:cs="Arial"/>
                <w:b/>
                <w:bCs/>
              </w:rPr>
            </w:pPr>
            <w:r w:rsidRPr="00AF4582">
              <w:rPr>
                <w:rFonts w:cs="Arial"/>
                <w:b/>
                <w:bCs/>
              </w:rPr>
              <w:t>91%</w:t>
            </w:r>
          </w:p>
        </w:tc>
      </w:tr>
    </w:tbl>
    <w:p w:rsidR="005F4215" w:rsidRDefault="005F4215" w:rsidP="005F3540">
      <w:pPr>
        <w:spacing w:after="0"/>
        <w:rPr>
          <w:rFonts w:ascii="Tahoma" w:hAnsi="Tahoma" w:cs="Tahoma"/>
          <w:b/>
          <w:sz w:val="28"/>
          <w:szCs w:val="28"/>
        </w:rPr>
      </w:pPr>
    </w:p>
    <w:p w:rsidR="005F4215" w:rsidRDefault="005F4215" w:rsidP="00F57EA2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5F4215" w:rsidRDefault="005F4215" w:rsidP="00F57EA2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5F4215" w:rsidRDefault="005F4215" w:rsidP="00F57EA2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6479F5" w:rsidRDefault="006479F5" w:rsidP="00F57EA2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5F4215" w:rsidRDefault="005F4215" w:rsidP="00D16FAF">
      <w:pPr>
        <w:spacing w:after="0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90" w:tblpY="245"/>
        <w:tblW w:w="14170" w:type="dxa"/>
        <w:tblLook w:val="04A0" w:firstRow="1" w:lastRow="0" w:firstColumn="1" w:lastColumn="0" w:noHBand="0" w:noVBand="1"/>
      </w:tblPr>
      <w:tblGrid>
        <w:gridCol w:w="2694"/>
        <w:gridCol w:w="11476"/>
      </w:tblGrid>
      <w:tr w:rsidR="00F57EA2" w:rsidTr="006479F5">
        <w:trPr>
          <w:trHeight w:val="945"/>
        </w:trPr>
        <w:tc>
          <w:tcPr>
            <w:tcW w:w="2694" w:type="dxa"/>
          </w:tcPr>
          <w:p w:rsidR="00F57EA2" w:rsidRPr="005F4215" w:rsidRDefault="00F57EA2" w:rsidP="005F4215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5F4215">
              <w:rPr>
                <w:rFonts w:ascii="Century Gothic" w:hAnsi="Century Gothic" w:cs="Arial"/>
                <w:b/>
                <w:sz w:val="18"/>
                <w:szCs w:val="18"/>
              </w:rPr>
              <w:t>With small numbers, issues tend to be individual but barriers to learning include:</w:t>
            </w:r>
          </w:p>
        </w:tc>
        <w:tc>
          <w:tcPr>
            <w:tcW w:w="11476" w:type="dxa"/>
          </w:tcPr>
          <w:p w:rsidR="00F57EA2" w:rsidRDefault="00F57EA2" w:rsidP="005F421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F4215">
              <w:rPr>
                <w:rFonts w:ascii="Century Gothic" w:hAnsi="Century Gothic" w:cs="Arial"/>
                <w:sz w:val="18"/>
                <w:szCs w:val="18"/>
              </w:rPr>
              <w:t>Oral language skills, including grammar which slows progress in writing and reading</w:t>
            </w:r>
          </w:p>
          <w:p w:rsidR="00D16FAF" w:rsidRPr="005F4215" w:rsidRDefault="00D16FAF" w:rsidP="005F421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Reading is not consistently practised at home</w:t>
            </w:r>
          </w:p>
          <w:p w:rsidR="00F57EA2" w:rsidRPr="005F4215" w:rsidRDefault="00F57EA2" w:rsidP="005F421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F4215">
              <w:rPr>
                <w:rFonts w:ascii="Century Gothic" w:hAnsi="Century Gothic" w:cs="Arial"/>
                <w:sz w:val="18"/>
                <w:szCs w:val="18"/>
              </w:rPr>
              <w:t>Social and emotional issues which affects the children’s ability to learn.</w:t>
            </w:r>
          </w:p>
        </w:tc>
      </w:tr>
    </w:tbl>
    <w:p w:rsidR="00F57EA2" w:rsidRDefault="00F57EA2" w:rsidP="005F421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:rsidR="00F57EA2" w:rsidRDefault="00F57EA2" w:rsidP="00F57EA2">
      <w:pPr>
        <w:spacing w:after="0" w:line="240" w:lineRule="auto"/>
        <w:ind w:left="-142"/>
        <w:rPr>
          <w:rFonts w:ascii="Century Gothic" w:hAnsi="Century Gothic" w:cs="Tahoma"/>
          <w:sz w:val="18"/>
          <w:szCs w:val="18"/>
        </w:rPr>
      </w:pPr>
    </w:p>
    <w:p w:rsidR="00F57EA2" w:rsidRDefault="00F57EA2" w:rsidP="00D16FAF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32"/>
        <w:tblW w:w="14093" w:type="dxa"/>
        <w:tblLook w:val="04A0" w:firstRow="1" w:lastRow="0" w:firstColumn="1" w:lastColumn="0" w:noHBand="0" w:noVBand="1"/>
      </w:tblPr>
      <w:tblGrid>
        <w:gridCol w:w="4106"/>
        <w:gridCol w:w="5245"/>
        <w:gridCol w:w="4742"/>
      </w:tblGrid>
      <w:tr w:rsidR="00F57EA2" w:rsidRPr="00BD786C" w:rsidTr="007D3977">
        <w:trPr>
          <w:trHeight w:val="439"/>
        </w:trPr>
        <w:tc>
          <w:tcPr>
            <w:tcW w:w="4106" w:type="dxa"/>
            <w:shd w:val="clear" w:color="auto" w:fill="D5DCE4" w:themeFill="text2" w:themeFillTint="33"/>
          </w:tcPr>
          <w:p w:rsidR="00F57EA2" w:rsidRPr="005F4215" w:rsidRDefault="00F57EA2" w:rsidP="00F57EA2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5F4215">
              <w:rPr>
                <w:rFonts w:ascii="Century Gothic" w:hAnsi="Century Gothic" w:cs="Tahoma"/>
                <w:b/>
                <w:sz w:val="18"/>
                <w:szCs w:val="18"/>
              </w:rPr>
              <w:t>Initiatives in 2016-17</w:t>
            </w:r>
          </w:p>
        </w:tc>
        <w:tc>
          <w:tcPr>
            <w:tcW w:w="5245" w:type="dxa"/>
            <w:shd w:val="clear" w:color="auto" w:fill="D5DCE4" w:themeFill="text2" w:themeFillTint="33"/>
          </w:tcPr>
          <w:p w:rsidR="00F57EA2" w:rsidRPr="005F4215" w:rsidRDefault="00F57EA2" w:rsidP="00F57EA2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5F4215">
              <w:rPr>
                <w:rFonts w:ascii="Century Gothic" w:hAnsi="Century Gothic" w:cs="Tahoma"/>
                <w:b/>
                <w:sz w:val="18"/>
                <w:szCs w:val="18"/>
              </w:rPr>
              <w:t>Reason for allocation</w:t>
            </w:r>
          </w:p>
        </w:tc>
        <w:tc>
          <w:tcPr>
            <w:tcW w:w="4742" w:type="dxa"/>
            <w:shd w:val="clear" w:color="auto" w:fill="D5DCE4" w:themeFill="text2" w:themeFillTint="33"/>
          </w:tcPr>
          <w:p w:rsidR="00F57EA2" w:rsidRPr="005F4215" w:rsidRDefault="00F57EA2" w:rsidP="00F57EA2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5F4215">
              <w:rPr>
                <w:rFonts w:ascii="Century Gothic" w:hAnsi="Century Gothic" w:cs="Tahoma"/>
                <w:b/>
                <w:sz w:val="18"/>
                <w:szCs w:val="18"/>
              </w:rPr>
              <w:t>Evaluation</w:t>
            </w:r>
          </w:p>
        </w:tc>
      </w:tr>
      <w:tr w:rsidR="00F57EA2" w:rsidRPr="00BD786C" w:rsidTr="007D3977">
        <w:trPr>
          <w:trHeight w:val="602"/>
        </w:trPr>
        <w:tc>
          <w:tcPr>
            <w:tcW w:w="4106" w:type="dxa"/>
          </w:tcPr>
          <w:p w:rsidR="00F57EA2" w:rsidRPr="005F4215" w:rsidRDefault="00F57EA2" w:rsidP="00F57EA2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5F4215">
              <w:rPr>
                <w:rFonts w:ascii="Century Gothic" w:hAnsi="Century Gothic" w:cs="Tahoma"/>
                <w:sz w:val="18"/>
                <w:szCs w:val="18"/>
              </w:rPr>
              <w:t>Implementation of Talk Boost for children with speech and language difficulties</w:t>
            </w:r>
          </w:p>
        </w:tc>
        <w:tc>
          <w:tcPr>
            <w:tcW w:w="5245" w:type="dxa"/>
            <w:shd w:val="clear" w:color="auto" w:fill="FFFFFF" w:themeFill="background1"/>
          </w:tcPr>
          <w:p w:rsidR="00F57EA2" w:rsidRPr="005F4215" w:rsidRDefault="00F57EA2" w:rsidP="00F57EA2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5F4215">
              <w:rPr>
                <w:rFonts w:ascii="Century Gothic" w:hAnsi="Century Gothic" w:cs="Tahoma"/>
                <w:sz w:val="18"/>
                <w:szCs w:val="18"/>
              </w:rPr>
              <w:t>Early identification of speech and language difficulties and provision of strategies for support</w:t>
            </w:r>
          </w:p>
        </w:tc>
        <w:tc>
          <w:tcPr>
            <w:tcW w:w="4742" w:type="dxa"/>
          </w:tcPr>
          <w:p w:rsidR="00F57EA2" w:rsidRPr="005F4215" w:rsidRDefault="00F57EA2" w:rsidP="00F57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5F4215">
              <w:rPr>
                <w:rFonts w:ascii="Century Gothic" w:hAnsi="Century Gothic" w:cs="Tahoma"/>
                <w:sz w:val="18"/>
                <w:szCs w:val="18"/>
              </w:rPr>
              <w:t>Classroom observations</w:t>
            </w:r>
          </w:p>
          <w:p w:rsidR="00F57EA2" w:rsidRPr="005F4215" w:rsidRDefault="00F57EA2" w:rsidP="00F57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5F4215">
              <w:rPr>
                <w:rFonts w:ascii="Century Gothic" w:hAnsi="Century Gothic" w:cs="Tahoma"/>
                <w:sz w:val="18"/>
                <w:szCs w:val="18"/>
              </w:rPr>
              <w:t xml:space="preserve">Discussions with </w:t>
            </w:r>
            <w:proofErr w:type="spellStart"/>
            <w:r w:rsidRPr="005F4215">
              <w:rPr>
                <w:rFonts w:ascii="Century Gothic" w:hAnsi="Century Gothic" w:cs="Tahoma"/>
                <w:sz w:val="18"/>
                <w:szCs w:val="18"/>
              </w:rPr>
              <w:t>SENCo</w:t>
            </w:r>
            <w:proofErr w:type="spellEnd"/>
            <w:r w:rsidRPr="005F4215">
              <w:rPr>
                <w:rFonts w:ascii="Century Gothic" w:hAnsi="Century Gothic" w:cs="Tahoma"/>
                <w:sz w:val="18"/>
                <w:szCs w:val="18"/>
              </w:rPr>
              <w:t>, Class</w:t>
            </w:r>
            <w:r w:rsidR="006479F5">
              <w:rPr>
                <w:rFonts w:ascii="Century Gothic" w:hAnsi="Century Gothic" w:cs="Tahoma"/>
                <w:sz w:val="18"/>
                <w:szCs w:val="18"/>
              </w:rPr>
              <w:t xml:space="preserve"> T</w:t>
            </w:r>
            <w:r w:rsidRPr="005F4215">
              <w:rPr>
                <w:rFonts w:ascii="Century Gothic" w:hAnsi="Century Gothic" w:cs="Tahoma"/>
                <w:sz w:val="18"/>
                <w:szCs w:val="18"/>
              </w:rPr>
              <w:t>eachers and parents</w:t>
            </w:r>
          </w:p>
        </w:tc>
      </w:tr>
      <w:tr w:rsidR="007D3977" w:rsidRPr="00BD786C" w:rsidTr="007D3977">
        <w:trPr>
          <w:trHeight w:val="602"/>
        </w:trPr>
        <w:tc>
          <w:tcPr>
            <w:tcW w:w="4106" w:type="dxa"/>
          </w:tcPr>
          <w:p w:rsidR="007D3977" w:rsidRPr="005F4215" w:rsidRDefault="007D3977" w:rsidP="00F57EA2">
            <w:pPr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Improve Reading </w:t>
            </w:r>
            <w:r w:rsidR="00D16FAF">
              <w:rPr>
                <w:rFonts w:ascii="Century Gothic" w:hAnsi="Century Gothic" w:cs="Tahoma"/>
                <w:sz w:val="18"/>
                <w:szCs w:val="18"/>
              </w:rPr>
              <w:t>skills through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the purchase of more modern reading scheme </w:t>
            </w:r>
            <w:r w:rsidR="00D16FAF">
              <w:rPr>
                <w:rFonts w:ascii="Century Gothic" w:hAnsi="Century Gothic" w:cs="Tahoma"/>
                <w:sz w:val="18"/>
                <w:szCs w:val="18"/>
              </w:rPr>
              <w:t>books, enhancement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of the CODE provision and through implementation of Reading Challenges for home </w:t>
            </w:r>
          </w:p>
        </w:tc>
        <w:tc>
          <w:tcPr>
            <w:tcW w:w="5245" w:type="dxa"/>
            <w:shd w:val="clear" w:color="auto" w:fill="FFFFFF" w:themeFill="background1"/>
          </w:tcPr>
          <w:p w:rsidR="007D3977" w:rsidRPr="005F4215" w:rsidRDefault="007D3977" w:rsidP="00F57EA2">
            <w:pPr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Children on PP are not making similar progress to their </w:t>
            </w:r>
            <w:r w:rsidR="00D16FAF">
              <w:rPr>
                <w:rFonts w:ascii="Century Gothic" w:hAnsi="Century Gothic" w:cs="Tahoma"/>
                <w:sz w:val="18"/>
                <w:szCs w:val="18"/>
              </w:rPr>
              <w:t>peers in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reading.   By ensuring that the reading </w:t>
            </w:r>
            <w:r w:rsidR="00D16FAF">
              <w:rPr>
                <w:rFonts w:ascii="Century Gothic" w:hAnsi="Century Gothic" w:cs="Tahoma"/>
                <w:sz w:val="18"/>
                <w:szCs w:val="18"/>
              </w:rPr>
              <w:t>scheme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books are up to date and that reading at home is actively promoted in the classroom,</w:t>
            </w:r>
            <w:r w:rsidR="00D16FAF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through the provision of </w:t>
            </w:r>
            <w:r w:rsidR="00D16FAF">
              <w:rPr>
                <w:rFonts w:ascii="Century Gothic" w:hAnsi="Century Gothic" w:cs="Tahoma"/>
                <w:sz w:val="18"/>
                <w:szCs w:val="18"/>
              </w:rPr>
              <w:t>interesting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books</w:t>
            </w:r>
            <w:r w:rsidR="00D16FAF">
              <w:rPr>
                <w:rFonts w:ascii="Century Gothic" w:hAnsi="Century Gothic" w:cs="Tahoma"/>
                <w:sz w:val="18"/>
                <w:szCs w:val="18"/>
              </w:rPr>
              <w:t>, children will practice their reading more at home.</w:t>
            </w:r>
          </w:p>
        </w:tc>
        <w:tc>
          <w:tcPr>
            <w:tcW w:w="4742" w:type="dxa"/>
          </w:tcPr>
          <w:p w:rsidR="007D3977" w:rsidRDefault="00D16FAF" w:rsidP="00F57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Discussions with children</w:t>
            </w:r>
          </w:p>
          <w:p w:rsidR="00D16FAF" w:rsidRDefault="00D16FAF" w:rsidP="00F57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Reading observations</w:t>
            </w:r>
          </w:p>
          <w:p w:rsidR="00D16FAF" w:rsidRDefault="00D16FAF" w:rsidP="00F57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Assessment information</w:t>
            </w:r>
          </w:p>
          <w:p w:rsidR="00D16FAF" w:rsidRPr="005F4215" w:rsidRDefault="00D16FAF" w:rsidP="00F57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Pupil Progress Meetings </w:t>
            </w:r>
          </w:p>
        </w:tc>
      </w:tr>
      <w:tr w:rsidR="00F57EA2" w:rsidRPr="00BD786C" w:rsidTr="007D3977">
        <w:trPr>
          <w:trHeight w:val="918"/>
        </w:trPr>
        <w:tc>
          <w:tcPr>
            <w:tcW w:w="4106" w:type="dxa"/>
          </w:tcPr>
          <w:p w:rsidR="00F57EA2" w:rsidRPr="005F4215" w:rsidRDefault="00F57EA2" w:rsidP="00F57EA2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5F4215">
              <w:rPr>
                <w:rFonts w:ascii="Century Gothic" w:hAnsi="Century Gothic" w:cs="Tahoma"/>
                <w:sz w:val="18"/>
                <w:szCs w:val="18"/>
              </w:rPr>
              <w:t>Implementation of Thinking Schools – Write from the beginning.</w:t>
            </w:r>
          </w:p>
        </w:tc>
        <w:tc>
          <w:tcPr>
            <w:tcW w:w="5245" w:type="dxa"/>
            <w:shd w:val="clear" w:color="auto" w:fill="FFFFFF" w:themeFill="background1"/>
          </w:tcPr>
          <w:p w:rsidR="00F57EA2" w:rsidRPr="005F4215" w:rsidRDefault="005F4215" w:rsidP="00F57EA2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5F4215">
              <w:rPr>
                <w:rFonts w:ascii="Century Gothic" w:hAnsi="Century Gothic" w:cs="Arial"/>
                <w:sz w:val="18"/>
                <w:szCs w:val="18"/>
              </w:rPr>
              <w:t xml:space="preserve">The Thinking Schools approach provides children with the frameworks for their writing and will support those children who find it difficult as well as extend the thinking process of higher </w:t>
            </w:r>
            <w:proofErr w:type="spellStart"/>
            <w:r w:rsidRPr="005F4215">
              <w:rPr>
                <w:rFonts w:ascii="Century Gothic" w:hAnsi="Century Gothic" w:cs="Arial"/>
                <w:sz w:val="18"/>
                <w:szCs w:val="18"/>
              </w:rPr>
              <w:t>attainers</w:t>
            </w:r>
            <w:proofErr w:type="spellEnd"/>
            <w:r w:rsidRPr="005F4215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4742" w:type="dxa"/>
          </w:tcPr>
          <w:p w:rsidR="00F57EA2" w:rsidRDefault="005F4215" w:rsidP="00F57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Classroom observations</w:t>
            </w:r>
          </w:p>
          <w:p w:rsidR="005F4215" w:rsidRDefault="005F4215" w:rsidP="00F57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Children’s work</w:t>
            </w:r>
          </w:p>
          <w:p w:rsidR="005F4215" w:rsidRPr="005F4215" w:rsidRDefault="005F4215" w:rsidP="00F57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Pupil Progress meetings</w:t>
            </w:r>
          </w:p>
        </w:tc>
      </w:tr>
      <w:tr w:rsidR="00F57EA2" w:rsidRPr="00BD786C" w:rsidTr="007D3977">
        <w:trPr>
          <w:trHeight w:val="764"/>
        </w:trPr>
        <w:tc>
          <w:tcPr>
            <w:tcW w:w="4106" w:type="dxa"/>
          </w:tcPr>
          <w:p w:rsidR="00F57EA2" w:rsidRPr="005F4215" w:rsidRDefault="00F57EA2" w:rsidP="00F57EA2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5F4215">
              <w:rPr>
                <w:rFonts w:ascii="Century Gothic" w:hAnsi="Century Gothic" w:cs="Tahoma"/>
                <w:sz w:val="18"/>
                <w:szCs w:val="18"/>
              </w:rPr>
              <w:t>TA support/ intervention groups for literacy and numeracy.</w:t>
            </w:r>
          </w:p>
        </w:tc>
        <w:tc>
          <w:tcPr>
            <w:tcW w:w="5245" w:type="dxa"/>
            <w:shd w:val="clear" w:color="auto" w:fill="FFFFFF" w:themeFill="background1"/>
          </w:tcPr>
          <w:p w:rsidR="00F57EA2" w:rsidRPr="005F4215" w:rsidRDefault="00F57EA2" w:rsidP="00F57EA2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5F4215">
              <w:rPr>
                <w:rFonts w:ascii="Century Gothic" w:hAnsi="Century Gothic" w:cs="Tahoma"/>
                <w:sz w:val="18"/>
                <w:szCs w:val="18"/>
              </w:rPr>
              <w:t>To enhance the literacy and numeracy skills of children who attract pupil Premium funding and develop an increased sense of confidence and independence when attempting tasks.</w:t>
            </w:r>
          </w:p>
        </w:tc>
        <w:tc>
          <w:tcPr>
            <w:tcW w:w="4742" w:type="dxa"/>
          </w:tcPr>
          <w:p w:rsidR="00F57EA2" w:rsidRPr="005F4215" w:rsidRDefault="00F57EA2" w:rsidP="00F57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5F4215">
              <w:rPr>
                <w:rFonts w:ascii="Century Gothic" w:hAnsi="Century Gothic" w:cs="Tahoma"/>
                <w:sz w:val="18"/>
                <w:szCs w:val="18"/>
              </w:rPr>
              <w:t>Classroom observations</w:t>
            </w:r>
          </w:p>
          <w:p w:rsidR="00F57EA2" w:rsidRDefault="00F57EA2" w:rsidP="00F57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5F4215">
              <w:rPr>
                <w:rFonts w:ascii="Century Gothic" w:hAnsi="Century Gothic" w:cs="Tahoma"/>
                <w:sz w:val="18"/>
                <w:szCs w:val="18"/>
              </w:rPr>
              <w:t>A</w:t>
            </w:r>
            <w:r w:rsidR="005F4215">
              <w:rPr>
                <w:rFonts w:ascii="Century Gothic" w:hAnsi="Century Gothic" w:cs="Tahoma"/>
                <w:sz w:val="18"/>
                <w:szCs w:val="18"/>
              </w:rPr>
              <w:t>ssessment information</w:t>
            </w:r>
          </w:p>
          <w:p w:rsidR="005F4215" w:rsidRPr="005F4215" w:rsidRDefault="005F4215" w:rsidP="00F57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Pupil Progress meetings</w:t>
            </w:r>
          </w:p>
        </w:tc>
      </w:tr>
      <w:tr w:rsidR="00F57EA2" w:rsidRPr="00BD786C" w:rsidTr="007D3977">
        <w:trPr>
          <w:trHeight w:val="592"/>
        </w:trPr>
        <w:tc>
          <w:tcPr>
            <w:tcW w:w="4106" w:type="dxa"/>
          </w:tcPr>
          <w:p w:rsidR="00F57EA2" w:rsidRPr="005F4215" w:rsidRDefault="00F57EA2" w:rsidP="00F57EA2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5F4215">
              <w:rPr>
                <w:rFonts w:ascii="Century Gothic" w:hAnsi="Century Gothic" w:cs="Tahoma"/>
                <w:sz w:val="18"/>
                <w:szCs w:val="18"/>
              </w:rPr>
              <w:t xml:space="preserve">Funding for </w:t>
            </w:r>
            <w:r w:rsidR="005F4215">
              <w:rPr>
                <w:rFonts w:ascii="Century Gothic" w:hAnsi="Century Gothic" w:cs="Tahoma"/>
                <w:sz w:val="18"/>
                <w:szCs w:val="18"/>
              </w:rPr>
              <w:t xml:space="preserve">Breakfast Club, </w:t>
            </w:r>
            <w:r w:rsidRPr="005F4215">
              <w:rPr>
                <w:rFonts w:ascii="Century Gothic" w:hAnsi="Century Gothic" w:cs="Tahoma"/>
                <w:sz w:val="18"/>
                <w:szCs w:val="18"/>
              </w:rPr>
              <w:t>extra-curricular visits and clubs.</w:t>
            </w:r>
          </w:p>
        </w:tc>
        <w:tc>
          <w:tcPr>
            <w:tcW w:w="5245" w:type="dxa"/>
            <w:shd w:val="clear" w:color="auto" w:fill="FFFFFF" w:themeFill="background1"/>
          </w:tcPr>
          <w:p w:rsidR="00F57EA2" w:rsidRPr="005F4215" w:rsidRDefault="00F57EA2" w:rsidP="00F57EA2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5F4215">
              <w:rPr>
                <w:rFonts w:ascii="Century Gothic" w:hAnsi="Century Gothic" w:cs="Tahoma"/>
                <w:sz w:val="18"/>
                <w:szCs w:val="18"/>
              </w:rPr>
              <w:t xml:space="preserve">To ensure </w:t>
            </w:r>
            <w:r w:rsidRPr="005F4215">
              <w:rPr>
                <w:rFonts w:ascii="Century Gothic" w:hAnsi="Century Gothic" w:cs="Tahoma"/>
                <w:i/>
                <w:sz w:val="18"/>
                <w:szCs w:val="18"/>
              </w:rPr>
              <w:t>all</w:t>
            </w:r>
            <w:r w:rsidRPr="005F4215">
              <w:rPr>
                <w:rFonts w:ascii="Century Gothic" w:hAnsi="Century Gothic" w:cs="Tahoma"/>
                <w:sz w:val="18"/>
                <w:szCs w:val="18"/>
              </w:rPr>
              <w:t xml:space="preserve"> children are given the same opportunities to access</w:t>
            </w:r>
            <w:r w:rsidR="005F4215">
              <w:rPr>
                <w:rFonts w:ascii="Century Gothic" w:hAnsi="Century Gothic" w:cs="Tahoma"/>
                <w:sz w:val="18"/>
                <w:szCs w:val="18"/>
              </w:rPr>
              <w:t xml:space="preserve"> Breakfast club </w:t>
            </w:r>
            <w:r w:rsidR="006479F5">
              <w:rPr>
                <w:rFonts w:ascii="Century Gothic" w:hAnsi="Century Gothic" w:cs="Tahoma"/>
                <w:sz w:val="18"/>
                <w:szCs w:val="18"/>
              </w:rPr>
              <w:t xml:space="preserve">and </w:t>
            </w:r>
            <w:r w:rsidR="006479F5" w:rsidRPr="005F4215">
              <w:rPr>
                <w:rFonts w:ascii="Century Gothic" w:hAnsi="Century Gothic" w:cs="Tahoma"/>
                <w:sz w:val="18"/>
                <w:szCs w:val="18"/>
              </w:rPr>
              <w:t>extra</w:t>
            </w:r>
            <w:r w:rsidRPr="005F4215">
              <w:rPr>
                <w:rFonts w:ascii="Century Gothic" w:hAnsi="Century Gothic" w:cs="Tahoma"/>
                <w:sz w:val="18"/>
                <w:szCs w:val="18"/>
              </w:rPr>
              <w:t>-curricular activities as their peers.</w:t>
            </w:r>
          </w:p>
        </w:tc>
        <w:tc>
          <w:tcPr>
            <w:tcW w:w="4742" w:type="dxa"/>
          </w:tcPr>
          <w:p w:rsidR="00F57EA2" w:rsidRPr="005F4215" w:rsidRDefault="005F4215" w:rsidP="00F57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Monitoring of participation at Breakfast </w:t>
            </w:r>
            <w:r w:rsidR="006479F5">
              <w:rPr>
                <w:rFonts w:ascii="Century Gothic" w:hAnsi="Century Gothic" w:cs="Tahoma"/>
                <w:sz w:val="18"/>
                <w:szCs w:val="18"/>
              </w:rPr>
              <w:t xml:space="preserve">Club, </w:t>
            </w:r>
            <w:r w:rsidR="006479F5" w:rsidRPr="005F4215">
              <w:rPr>
                <w:rFonts w:ascii="Century Gothic" w:hAnsi="Century Gothic" w:cs="Tahoma"/>
                <w:sz w:val="18"/>
                <w:szCs w:val="18"/>
              </w:rPr>
              <w:t>school</w:t>
            </w:r>
            <w:r w:rsidR="00F57EA2" w:rsidRPr="005F4215">
              <w:rPr>
                <w:rFonts w:ascii="Century Gothic" w:hAnsi="Century Gothic" w:cs="Tahoma"/>
                <w:sz w:val="18"/>
                <w:szCs w:val="18"/>
              </w:rPr>
              <w:t xml:space="preserve"> trips and other extra-curricular activities</w:t>
            </w:r>
          </w:p>
        </w:tc>
      </w:tr>
    </w:tbl>
    <w:p w:rsidR="00F57EA2" w:rsidRDefault="00F57EA2" w:rsidP="00F57EA2">
      <w:pPr>
        <w:spacing w:after="0" w:line="240" w:lineRule="auto"/>
        <w:ind w:left="-709"/>
        <w:rPr>
          <w:rFonts w:ascii="Century Gothic" w:hAnsi="Century Gothic" w:cs="Tahoma"/>
          <w:b/>
          <w:sz w:val="18"/>
          <w:szCs w:val="18"/>
        </w:rPr>
      </w:pPr>
    </w:p>
    <w:p w:rsidR="00F57EA2" w:rsidRDefault="00F57EA2" w:rsidP="00F57EA2">
      <w:pPr>
        <w:spacing w:after="0" w:line="240" w:lineRule="auto"/>
        <w:ind w:left="-709"/>
        <w:rPr>
          <w:rFonts w:ascii="Century Gothic" w:hAnsi="Century Gothic" w:cs="Tahoma"/>
          <w:b/>
          <w:sz w:val="18"/>
          <w:szCs w:val="18"/>
        </w:rPr>
      </w:pPr>
    </w:p>
    <w:p w:rsidR="005F4215" w:rsidRDefault="005F4215" w:rsidP="00F57EA2">
      <w:pPr>
        <w:spacing w:after="0" w:line="240" w:lineRule="auto"/>
        <w:ind w:left="-709"/>
        <w:rPr>
          <w:rFonts w:ascii="Century Gothic" w:hAnsi="Century Gothic" w:cs="Tahoma"/>
          <w:b/>
          <w:sz w:val="18"/>
          <w:szCs w:val="18"/>
        </w:rPr>
      </w:pPr>
    </w:p>
    <w:p w:rsidR="005F4215" w:rsidRDefault="005F4215" w:rsidP="00F57EA2">
      <w:pPr>
        <w:spacing w:after="0" w:line="240" w:lineRule="auto"/>
        <w:ind w:left="-709"/>
        <w:rPr>
          <w:rFonts w:ascii="Century Gothic" w:hAnsi="Century Gothic" w:cs="Tahoma"/>
          <w:b/>
          <w:sz w:val="18"/>
          <w:szCs w:val="18"/>
        </w:rPr>
      </w:pPr>
    </w:p>
    <w:p w:rsidR="005F4215" w:rsidRDefault="005F4215" w:rsidP="00D16FAF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:rsidR="005F4215" w:rsidRDefault="005F4215" w:rsidP="00F57EA2">
      <w:pPr>
        <w:spacing w:after="0" w:line="240" w:lineRule="auto"/>
        <w:ind w:left="-709"/>
        <w:rPr>
          <w:rFonts w:ascii="Century Gothic" w:hAnsi="Century Gothic" w:cs="Tahoma"/>
          <w:b/>
          <w:sz w:val="18"/>
          <w:szCs w:val="18"/>
        </w:rPr>
      </w:pPr>
    </w:p>
    <w:p w:rsidR="005F4215" w:rsidRDefault="005F4215" w:rsidP="00F57EA2">
      <w:pPr>
        <w:spacing w:after="0" w:line="240" w:lineRule="auto"/>
        <w:ind w:left="-709"/>
        <w:rPr>
          <w:rFonts w:ascii="Century Gothic" w:hAnsi="Century Gothic" w:cs="Tahoma"/>
          <w:b/>
          <w:sz w:val="18"/>
          <w:szCs w:val="18"/>
        </w:rPr>
      </w:pPr>
    </w:p>
    <w:p w:rsidR="005F4215" w:rsidRDefault="005F4215" w:rsidP="00F57EA2">
      <w:pPr>
        <w:spacing w:after="0" w:line="240" w:lineRule="auto"/>
        <w:ind w:left="-709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Evaluation of Initiatives in 2015-16</w:t>
      </w:r>
    </w:p>
    <w:p w:rsidR="005F4215" w:rsidRDefault="005F4215" w:rsidP="00F57EA2">
      <w:pPr>
        <w:spacing w:after="0" w:line="240" w:lineRule="auto"/>
        <w:ind w:left="-709"/>
        <w:rPr>
          <w:rFonts w:ascii="Century Gothic" w:hAnsi="Century Gothic" w:cs="Tahoma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-856" w:tblpY="19"/>
        <w:tblW w:w="13699" w:type="dxa"/>
        <w:tblLook w:val="04A0" w:firstRow="1" w:lastRow="0" w:firstColumn="1" w:lastColumn="0" w:noHBand="0" w:noVBand="1"/>
      </w:tblPr>
      <w:tblGrid>
        <w:gridCol w:w="2764"/>
        <w:gridCol w:w="10935"/>
      </w:tblGrid>
      <w:tr w:rsidR="005F4215" w:rsidTr="005F4215">
        <w:trPr>
          <w:trHeight w:val="267"/>
        </w:trPr>
        <w:tc>
          <w:tcPr>
            <w:tcW w:w="2764" w:type="dxa"/>
            <w:shd w:val="clear" w:color="auto" w:fill="D5DCE4" w:themeFill="text2" w:themeFillTint="33"/>
          </w:tcPr>
          <w:p w:rsidR="005F4215" w:rsidRPr="005D5726" w:rsidRDefault="005F4215" w:rsidP="005F42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ahoma"/>
                <w:sz w:val="18"/>
                <w:szCs w:val="18"/>
              </w:rPr>
            </w:pPr>
            <w:r>
              <w:rPr>
                <w:rFonts w:ascii="Century Gothic" w:eastAsia="Times New Roman" w:hAnsi="Century Gothic" w:cs="Tahoma"/>
                <w:sz w:val="18"/>
                <w:szCs w:val="18"/>
              </w:rPr>
              <w:t>Initiative</w:t>
            </w:r>
          </w:p>
        </w:tc>
        <w:tc>
          <w:tcPr>
            <w:tcW w:w="10935" w:type="dxa"/>
            <w:shd w:val="clear" w:color="auto" w:fill="D5DCE4" w:themeFill="text2" w:themeFillTint="33"/>
          </w:tcPr>
          <w:p w:rsidR="005F4215" w:rsidRPr="005D5726" w:rsidRDefault="005F4215" w:rsidP="005F42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eastAsia="Times New Roman" w:hAnsi="Century Gothic" w:cs="Tahoma"/>
                <w:sz w:val="18"/>
                <w:szCs w:val="18"/>
              </w:rPr>
            </w:pPr>
            <w:r w:rsidRPr="005D5726">
              <w:rPr>
                <w:rFonts w:ascii="Century Gothic" w:eastAsia="Times New Roman" w:hAnsi="Century Gothic" w:cs="Tahoma"/>
                <w:sz w:val="18"/>
                <w:szCs w:val="18"/>
              </w:rPr>
              <w:t>Action/Impact</w:t>
            </w:r>
          </w:p>
        </w:tc>
      </w:tr>
      <w:tr w:rsidR="005F4215" w:rsidRPr="005D5726" w:rsidTr="005F4215">
        <w:trPr>
          <w:trHeight w:val="687"/>
        </w:trPr>
        <w:tc>
          <w:tcPr>
            <w:tcW w:w="2764" w:type="dxa"/>
          </w:tcPr>
          <w:p w:rsidR="005F4215" w:rsidRPr="005D5726" w:rsidRDefault="005F4215" w:rsidP="005F42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ahoma"/>
                <w:sz w:val="18"/>
                <w:szCs w:val="18"/>
              </w:rPr>
            </w:pPr>
            <w:r w:rsidRPr="005D5726">
              <w:rPr>
                <w:rFonts w:ascii="Century Gothic" w:eastAsia="Times New Roman" w:hAnsi="Century Gothic" w:cs="Tahoma"/>
                <w:sz w:val="18"/>
                <w:szCs w:val="18"/>
              </w:rPr>
              <w:t>Reading/Writing/Maths interventions, 1:1 and in small groups</w:t>
            </w:r>
          </w:p>
        </w:tc>
        <w:tc>
          <w:tcPr>
            <w:tcW w:w="10935" w:type="dxa"/>
          </w:tcPr>
          <w:p w:rsidR="005F4215" w:rsidRPr="005F4215" w:rsidRDefault="005F4215" w:rsidP="005F42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ahoma"/>
                <w:sz w:val="18"/>
                <w:szCs w:val="18"/>
              </w:rPr>
            </w:pPr>
            <w:r w:rsidRPr="005F4215">
              <w:rPr>
                <w:rFonts w:ascii="Century Gothic" w:eastAsia="Times New Roman" w:hAnsi="Century Gothic" w:cs="Tahoma"/>
                <w:sz w:val="18"/>
                <w:szCs w:val="18"/>
              </w:rPr>
              <w:t xml:space="preserve">Children receiving PP made broadly the same or better progress as their non PP peers.  </w:t>
            </w:r>
          </w:p>
          <w:p w:rsidR="005F4215" w:rsidRPr="005F4215" w:rsidRDefault="005F4215" w:rsidP="005F42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ahoma"/>
                <w:sz w:val="18"/>
                <w:szCs w:val="18"/>
              </w:rPr>
            </w:pPr>
            <w:r w:rsidRPr="005F4215">
              <w:rPr>
                <w:rFonts w:ascii="Century Gothic" w:eastAsia="Times New Roman" w:hAnsi="Century Gothic" w:cs="Tahoma"/>
                <w:sz w:val="18"/>
                <w:szCs w:val="18"/>
              </w:rPr>
              <w:t>All staff delivering our key interventions are trained. These interventions are then monitored and their impact considered.</w:t>
            </w:r>
          </w:p>
        </w:tc>
      </w:tr>
      <w:tr w:rsidR="005F4215" w:rsidRPr="005D5726" w:rsidTr="006479F5">
        <w:trPr>
          <w:trHeight w:val="1528"/>
        </w:trPr>
        <w:tc>
          <w:tcPr>
            <w:tcW w:w="2764" w:type="dxa"/>
          </w:tcPr>
          <w:p w:rsidR="005F4215" w:rsidRPr="005D5726" w:rsidRDefault="005F4215" w:rsidP="005F42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ahoma"/>
                <w:sz w:val="18"/>
                <w:szCs w:val="18"/>
              </w:rPr>
            </w:pPr>
            <w:r w:rsidRPr="005D5726">
              <w:rPr>
                <w:rFonts w:ascii="Century Gothic" w:eastAsia="Times New Roman" w:hAnsi="Century Gothic" w:cs="Tahoma"/>
                <w:sz w:val="18"/>
                <w:szCs w:val="18"/>
              </w:rPr>
              <w:t>Staff Training</w:t>
            </w:r>
          </w:p>
          <w:p w:rsidR="005F4215" w:rsidRPr="005D5726" w:rsidRDefault="005F4215" w:rsidP="005F42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ahoma"/>
                <w:sz w:val="18"/>
                <w:szCs w:val="18"/>
              </w:rPr>
            </w:pPr>
            <w:r w:rsidRPr="005D5726">
              <w:rPr>
                <w:rFonts w:ascii="Century Gothic" w:eastAsia="Times New Roman" w:hAnsi="Century Gothic" w:cs="Tahoma"/>
                <w:sz w:val="18"/>
                <w:szCs w:val="18"/>
              </w:rPr>
              <w:t>Thinking Schools</w:t>
            </w:r>
          </w:p>
          <w:p w:rsidR="005F4215" w:rsidRPr="005D5726" w:rsidRDefault="005F4215" w:rsidP="005F42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ahoma"/>
                <w:sz w:val="18"/>
                <w:szCs w:val="18"/>
              </w:rPr>
            </w:pPr>
            <w:r w:rsidRPr="005D5726">
              <w:rPr>
                <w:rFonts w:ascii="Century Gothic" w:eastAsia="Times New Roman" w:hAnsi="Century Gothic" w:cs="Tahoma"/>
                <w:sz w:val="18"/>
                <w:szCs w:val="18"/>
              </w:rPr>
              <w:t>Rapid Maths Rapid Maths resources</w:t>
            </w:r>
          </w:p>
        </w:tc>
        <w:tc>
          <w:tcPr>
            <w:tcW w:w="10935" w:type="dxa"/>
          </w:tcPr>
          <w:p w:rsidR="005F4215" w:rsidRPr="005F4215" w:rsidRDefault="005F4215" w:rsidP="005F42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Strong"/>
                <w:rFonts w:ascii="Century Gothic" w:hAnsi="Century Gothic"/>
                <w:b w:val="0"/>
                <w:sz w:val="18"/>
                <w:szCs w:val="18"/>
                <w:shd w:val="clear" w:color="auto" w:fill="FFFFFF"/>
              </w:rPr>
            </w:pPr>
            <w:r w:rsidRPr="005F4215">
              <w:rPr>
                <w:rFonts w:ascii="Century Gothic" w:eastAsia="Times New Roman" w:hAnsi="Century Gothic" w:cs="Tahoma"/>
                <w:sz w:val="18"/>
                <w:szCs w:val="18"/>
              </w:rPr>
              <w:t>The Thinking Schools approach is</w:t>
            </w:r>
            <w:r w:rsidRPr="005F4215"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 xml:space="preserve"> </w:t>
            </w:r>
            <w:r w:rsidRPr="005F4215">
              <w:rPr>
                <w:rStyle w:val="Strong"/>
                <w:rFonts w:ascii="Century Gothic" w:hAnsi="Century Gothic"/>
                <w:b w:val="0"/>
                <w:sz w:val="18"/>
                <w:szCs w:val="18"/>
                <w:shd w:val="clear" w:color="auto" w:fill="FFFFFF"/>
              </w:rPr>
              <w:t>a whole-school approach to the teaching of thinking. This means that thinking becomes central and explicit and all teachers and children are developing a common thinking language and toolbox</w:t>
            </w:r>
          </w:p>
          <w:p w:rsidR="005F4215" w:rsidRPr="005F4215" w:rsidRDefault="005F4215" w:rsidP="005F42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ahoma"/>
                <w:sz w:val="18"/>
                <w:szCs w:val="18"/>
              </w:rPr>
            </w:pPr>
            <w:r w:rsidRPr="005F4215">
              <w:rPr>
                <w:rStyle w:val="Strong"/>
                <w:rFonts w:ascii="Century Gothic" w:hAnsi="Century Gothic"/>
                <w:b w:val="0"/>
                <w:sz w:val="18"/>
                <w:szCs w:val="18"/>
                <w:shd w:val="clear" w:color="auto" w:fill="FFFFFF"/>
              </w:rPr>
              <w:t>Rapid Maths (booster programme for children who struggle with Maths) implemented.</w:t>
            </w:r>
          </w:p>
        </w:tc>
      </w:tr>
      <w:tr w:rsidR="005F4215" w:rsidRPr="005D5726" w:rsidTr="005F4215">
        <w:trPr>
          <w:trHeight w:val="544"/>
        </w:trPr>
        <w:tc>
          <w:tcPr>
            <w:tcW w:w="2764" w:type="dxa"/>
          </w:tcPr>
          <w:p w:rsidR="005F4215" w:rsidRPr="005D5726" w:rsidRDefault="005F4215" w:rsidP="005F42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ahoma"/>
                <w:sz w:val="18"/>
                <w:szCs w:val="18"/>
              </w:rPr>
            </w:pPr>
            <w:r w:rsidRPr="005D5726">
              <w:rPr>
                <w:rFonts w:ascii="Century Gothic" w:eastAsia="Times New Roman" w:hAnsi="Century Gothic" w:cs="Tahoma"/>
                <w:sz w:val="18"/>
                <w:szCs w:val="18"/>
              </w:rPr>
              <w:t>Brought in external agencies.</w:t>
            </w:r>
          </w:p>
        </w:tc>
        <w:tc>
          <w:tcPr>
            <w:tcW w:w="10935" w:type="dxa"/>
          </w:tcPr>
          <w:p w:rsidR="005F4215" w:rsidRPr="005D5726" w:rsidRDefault="005F4215" w:rsidP="005F42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ahoma"/>
                <w:sz w:val="18"/>
                <w:szCs w:val="18"/>
              </w:rPr>
            </w:pPr>
            <w:r w:rsidRPr="005D5726">
              <w:rPr>
                <w:rFonts w:ascii="Century Gothic" w:eastAsia="Times New Roman" w:hAnsi="Century Gothic" w:cs="Tahoma"/>
                <w:sz w:val="18"/>
                <w:szCs w:val="18"/>
              </w:rPr>
              <w:t>Children’s needs are assessed and specific learning needs are identified.  These are then implemented within the classroom to ensure that progress can be made.</w:t>
            </w:r>
          </w:p>
        </w:tc>
      </w:tr>
      <w:tr w:rsidR="005F4215" w:rsidRPr="005D5726" w:rsidTr="005F4215">
        <w:trPr>
          <w:trHeight w:val="679"/>
        </w:trPr>
        <w:tc>
          <w:tcPr>
            <w:tcW w:w="2764" w:type="dxa"/>
          </w:tcPr>
          <w:p w:rsidR="005F4215" w:rsidRPr="005D5726" w:rsidRDefault="005F4215" w:rsidP="005F42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ahoma"/>
                <w:sz w:val="18"/>
                <w:szCs w:val="18"/>
              </w:rPr>
            </w:pPr>
            <w:r w:rsidRPr="005D5726">
              <w:rPr>
                <w:rFonts w:ascii="Century Gothic" w:eastAsia="Times New Roman" w:hAnsi="Century Gothic" w:cs="Tahoma"/>
                <w:sz w:val="18"/>
                <w:szCs w:val="18"/>
              </w:rPr>
              <w:t xml:space="preserve">Resources including new reading books, equipment </w:t>
            </w:r>
            <w:proofErr w:type="spellStart"/>
            <w:r w:rsidRPr="005D5726">
              <w:rPr>
                <w:rFonts w:ascii="Century Gothic" w:eastAsia="Times New Roman" w:hAnsi="Century Gothic" w:cs="Tahoma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0935" w:type="dxa"/>
          </w:tcPr>
          <w:p w:rsidR="005F4215" w:rsidRPr="005D5726" w:rsidRDefault="005F4215" w:rsidP="005F42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ahoma"/>
                <w:sz w:val="18"/>
                <w:szCs w:val="18"/>
              </w:rPr>
            </w:pPr>
            <w:r w:rsidRPr="005D5726">
              <w:rPr>
                <w:rFonts w:ascii="Century Gothic" w:eastAsia="Times New Roman" w:hAnsi="Century Gothic" w:cs="Tahoma"/>
                <w:sz w:val="18"/>
                <w:szCs w:val="18"/>
              </w:rPr>
              <w:t>Learning resources including personal use chrome books have been purchased to support the children with their learning.  New, more engaging and up to date reading books have also been purchased.</w:t>
            </w:r>
          </w:p>
        </w:tc>
      </w:tr>
      <w:tr w:rsidR="005F4215" w:rsidRPr="005D5726" w:rsidTr="005F4215">
        <w:trPr>
          <w:trHeight w:val="821"/>
        </w:trPr>
        <w:tc>
          <w:tcPr>
            <w:tcW w:w="2764" w:type="dxa"/>
          </w:tcPr>
          <w:p w:rsidR="005F4215" w:rsidRPr="005D5726" w:rsidRDefault="005F4215" w:rsidP="005F42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ahoma"/>
                <w:sz w:val="18"/>
                <w:szCs w:val="18"/>
              </w:rPr>
            </w:pPr>
            <w:r w:rsidRPr="005D5726">
              <w:rPr>
                <w:rFonts w:ascii="Century Gothic" w:eastAsia="Times New Roman" w:hAnsi="Century Gothic" w:cs="Tahoma"/>
                <w:sz w:val="18"/>
                <w:szCs w:val="18"/>
              </w:rPr>
              <w:t>Enrichment financial support</w:t>
            </w:r>
          </w:p>
        </w:tc>
        <w:tc>
          <w:tcPr>
            <w:tcW w:w="10935" w:type="dxa"/>
          </w:tcPr>
          <w:p w:rsidR="005F4215" w:rsidRPr="005D5726" w:rsidRDefault="005F4215" w:rsidP="005F42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ahoma"/>
                <w:sz w:val="18"/>
                <w:szCs w:val="18"/>
              </w:rPr>
            </w:pPr>
            <w:r w:rsidRPr="005D5726">
              <w:rPr>
                <w:rFonts w:ascii="Century Gothic" w:eastAsia="Times New Roman" w:hAnsi="Century Gothic" w:cs="Tahoma"/>
                <w:sz w:val="18"/>
                <w:szCs w:val="18"/>
              </w:rPr>
              <w:t>We have supported families to enable the children to attend extracurricular activities and other activities incurring a charge. This ensures that all activities are as inclusive as possible, including the bi annual residential trip to London.</w:t>
            </w:r>
          </w:p>
        </w:tc>
      </w:tr>
      <w:tr w:rsidR="005F4215" w:rsidRPr="005D5726" w:rsidTr="005F4215">
        <w:trPr>
          <w:trHeight w:val="353"/>
        </w:trPr>
        <w:tc>
          <w:tcPr>
            <w:tcW w:w="2764" w:type="dxa"/>
          </w:tcPr>
          <w:p w:rsidR="005F4215" w:rsidRPr="005D5726" w:rsidRDefault="005F4215" w:rsidP="005F42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ahoma"/>
                <w:sz w:val="18"/>
                <w:szCs w:val="18"/>
              </w:rPr>
            </w:pPr>
            <w:r w:rsidRPr="005D5726">
              <w:rPr>
                <w:rFonts w:ascii="Century Gothic" w:eastAsia="Times New Roman" w:hAnsi="Century Gothic" w:cs="Tahoma"/>
                <w:sz w:val="18"/>
                <w:szCs w:val="18"/>
              </w:rPr>
              <w:t>Breakfast club</w:t>
            </w:r>
          </w:p>
        </w:tc>
        <w:tc>
          <w:tcPr>
            <w:tcW w:w="10935" w:type="dxa"/>
          </w:tcPr>
          <w:p w:rsidR="005F4215" w:rsidRPr="005D5726" w:rsidRDefault="005F4215" w:rsidP="005F42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ahoma"/>
                <w:sz w:val="18"/>
                <w:szCs w:val="18"/>
              </w:rPr>
            </w:pPr>
            <w:r w:rsidRPr="005D5726">
              <w:rPr>
                <w:rFonts w:ascii="Century Gothic" w:eastAsia="Times New Roman" w:hAnsi="Century Gothic" w:cs="Tahoma"/>
                <w:sz w:val="18"/>
                <w:szCs w:val="18"/>
              </w:rPr>
              <w:t xml:space="preserve">Children are able to start their day with a nutritious meal and the company of other children. </w:t>
            </w:r>
          </w:p>
        </w:tc>
      </w:tr>
    </w:tbl>
    <w:p w:rsidR="00F57EA2" w:rsidRPr="00BD786C" w:rsidRDefault="00F57EA2" w:rsidP="00F57EA2">
      <w:pPr>
        <w:spacing w:after="0"/>
        <w:rPr>
          <w:rFonts w:ascii="Tahoma" w:hAnsi="Tahoma" w:cs="Tahoma"/>
          <w:sz w:val="18"/>
          <w:szCs w:val="18"/>
        </w:rPr>
      </w:pPr>
    </w:p>
    <w:p w:rsidR="00F57EA2" w:rsidRPr="00BD786C" w:rsidRDefault="00F57EA2" w:rsidP="00F57EA2">
      <w:pPr>
        <w:spacing w:after="0"/>
        <w:rPr>
          <w:rFonts w:ascii="Tahoma" w:hAnsi="Tahoma" w:cs="Tahoma"/>
          <w:sz w:val="18"/>
          <w:szCs w:val="18"/>
        </w:rPr>
      </w:pPr>
    </w:p>
    <w:p w:rsidR="00F57EA2" w:rsidRPr="00BD786C" w:rsidRDefault="00F57EA2" w:rsidP="00F57EA2">
      <w:pPr>
        <w:spacing w:after="0"/>
        <w:rPr>
          <w:rFonts w:ascii="Tahoma" w:hAnsi="Tahoma" w:cs="Tahoma"/>
          <w:sz w:val="18"/>
          <w:szCs w:val="18"/>
        </w:rPr>
      </w:pPr>
      <w:r w:rsidRPr="00BD786C">
        <w:rPr>
          <w:rFonts w:ascii="Tahoma" w:hAnsi="Tahoma" w:cs="Tahoma"/>
          <w:sz w:val="18"/>
          <w:szCs w:val="18"/>
        </w:rPr>
        <w:t xml:space="preserve">Report written: </w:t>
      </w:r>
      <w:r w:rsidR="006479F5">
        <w:rPr>
          <w:rFonts w:ascii="Tahoma" w:hAnsi="Tahoma" w:cs="Tahoma"/>
          <w:b/>
          <w:sz w:val="18"/>
          <w:szCs w:val="18"/>
        </w:rPr>
        <w:t xml:space="preserve">October </w:t>
      </w:r>
      <w:r w:rsidRPr="00BD786C">
        <w:rPr>
          <w:rFonts w:ascii="Tahoma" w:hAnsi="Tahoma" w:cs="Tahoma"/>
          <w:b/>
          <w:sz w:val="18"/>
          <w:szCs w:val="18"/>
        </w:rPr>
        <w:t>2016</w:t>
      </w:r>
    </w:p>
    <w:p w:rsidR="00F57EA2" w:rsidRPr="00BD786C" w:rsidRDefault="00F57EA2" w:rsidP="00F57EA2">
      <w:pPr>
        <w:spacing w:after="0"/>
        <w:rPr>
          <w:rFonts w:ascii="Tahoma" w:hAnsi="Tahoma" w:cs="Tahoma"/>
          <w:b/>
          <w:sz w:val="18"/>
          <w:szCs w:val="18"/>
        </w:rPr>
      </w:pPr>
      <w:r w:rsidRPr="00BD786C">
        <w:rPr>
          <w:rFonts w:ascii="Tahoma" w:hAnsi="Tahoma" w:cs="Tahoma"/>
          <w:sz w:val="18"/>
          <w:szCs w:val="18"/>
        </w:rPr>
        <w:t xml:space="preserve">To be reviewed by: </w:t>
      </w:r>
      <w:r w:rsidRPr="00BD786C">
        <w:rPr>
          <w:rFonts w:ascii="Tahoma" w:hAnsi="Tahoma" w:cs="Tahoma"/>
          <w:b/>
          <w:sz w:val="18"/>
          <w:szCs w:val="18"/>
        </w:rPr>
        <w:t>April 2017</w:t>
      </w:r>
    </w:p>
    <w:p w:rsidR="00F57EA2" w:rsidRPr="00BD786C" w:rsidRDefault="00F57EA2" w:rsidP="00F57EA2">
      <w:pPr>
        <w:spacing w:after="0"/>
        <w:rPr>
          <w:rFonts w:ascii="Tahoma" w:hAnsi="Tahoma" w:cs="Tahoma"/>
          <w:sz w:val="18"/>
          <w:szCs w:val="18"/>
        </w:rPr>
      </w:pPr>
      <w:r w:rsidRPr="00BD786C">
        <w:rPr>
          <w:rFonts w:ascii="Tahoma" w:hAnsi="Tahoma" w:cs="Tahoma"/>
          <w:sz w:val="18"/>
          <w:szCs w:val="18"/>
        </w:rPr>
        <w:t xml:space="preserve">Review completed: </w:t>
      </w:r>
    </w:p>
    <w:p w:rsidR="00F57EA2" w:rsidRDefault="00F57EA2"/>
    <w:sectPr w:rsidR="00F57EA2" w:rsidSect="00F57EA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21C"/>
    <w:multiLevelType w:val="hybridMultilevel"/>
    <w:tmpl w:val="6574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0F40FEC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8B62485"/>
    <w:multiLevelType w:val="hybridMultilevel"/>
    <w:tmpl w:val="6A84C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825B8"/>
    <w:multiLevelType w:val="hybridMultilevel"/>
    <w:tmpl w:val="66F08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A2"/>
    <w:rsid w:val="000F1B84"/>
    <w:rsid w:val="00561DA5"/>
    <w:rsid w:val="005F3540"/>
    <w:rsid w:val="005F4215"/>
    <w:rsid w:val="006479F5"/>
    <w:rsid w:val="007D3977"/>
    <w:rsid w:val="008D7E97"/>
    <w:rsid w:val="00BE46BD"/>
    <w:rsid w:val="00D04933"/>
    <w:rsid w:val="00D16FAF"/>
    <w:rsid w:val="00F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6D19"/>
  <w15:chartTrackingRefBased/>
  <w15:docId w15:val="{F9C51F51-367F-4280-B917-1AFEA40B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7E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F57EA2"/>
    <w:pPr>
      <w:ind w:left="720"/>
      <w:contextualSpacing/>
    </w:pPr>
  </w:style>
  <w:style w:type="table" w:styleId="TableGrid">
    <w:name w:val="Table Grid"/>
    <w:basedOn w:val="TableNormal"/>
    <w:uiPriority w:val="59"/>
    <w:rsid w:val="00F5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F4215"/>
    <w:rPr>
      <w:b/>
      <w:bCs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5F4215"/>
  </w:style>
  <w:style w:type="paragraph" w:styleId="BalloonText">
    <w:name w:val="Balloon Text"/>
    <w:basedOn w:val="Normal"/>
    <w:link w:val="BalloonTextChar"/>
    <w:uiPriority w:val="99"/>
    <w:semiHidden/>
    <w:unhideWhenUsed/>
    <w:rsid w:val="005F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Scoles</dc:creator>
  <cp:keywords/>
  <dc:description/>
  <cp:lastModifiedBy>Marcella Scoles</cp:lastModifiedBy>
  <cp:revision>7</cp:revision>
  <cp:lastPrinted>2016-11-03T12:20:00Z</cp:lastPrinted>
  <dcterms:created xsi:type="dcterms:W3CDTF">2016-10-31T14:43:00Z</dcterms:created>
  <dcterms:modified xsi:type="dcterms:W3CDTF">2016-11-03T15:05:00Z</dcterms:modified>
</cp:coreProperties>
</file>